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83108">
      <w:pPr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p w14:paraId="719EDB07">
      <w:pPr>
        <w:spacing w:line="240" w:lineRule="auto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常州工学院第三届“恒建建设杯”</w:t>
      </w:r>
    </w:p>
    <w:p w14:paraId="00E89BFE">
      <w:pPr>
        <w:spacing w:line="24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结构创新大赛赛题</w:t>
      </w:r>
    </w:p>
    <w:bookmarkEnd w:id="0"/>
    <w:p w14:paraId="76B50A6E">
      <w:pPr>
        <w:pStyle w:val="6"/>
        <w:spacing w:line="560" w:lineRule="exact"/>
        <w:ind w:left="0" w:leftChars="0" w:firstLine="0" w:firstLineChars="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一、竞赛模型</w:t>
      </w:r>
    </w:p>
    <w:p w14:paraId="1A5E0FC8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用A4纸（约210mm×297mm）搭建一个可以承重的二层结构模型，具体结构形式不限。</w:t>
      </w:r>
    </w:p>
    <w:p w14:paraId="25902760">
      <w:pPr>
        <w:pStyle w:val="6"/>
        <w:spacing w:line="560" w:lineRule="exact"/>
        <w:ind w:left="0" w:leftChars="0" w:firstLine="0" w:firstLineChars="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二、材料和工具</w:t>
      </w:r>
    </w:p>
    <w:p w14:paraId="26435ECD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（1）限用A4纸(废旧或新皆可)、胶水（建议采用普通办公液体胶水）、彩色涂料或喷漆，不得使用其他材料制作作品（如木、竹、塑料、纱线等）。允许用色彩美化作品。</w:t>
      </w:r>
    </w:p>
    <w:p w14:paraId="0198988C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（2）胶水只作为黏合材料，参赛队不能用其来改变纸的力学特性（如将胶水灌入模型空隙中等），一经发现取消该参赛队比赛资格。</w:t>
      </w:r>
    </w:p>
    <w:p w14:paraId="5620DD91">
      <w:pPr>
        <w:pStyle w:val="6"/>
        <w:spacing w:line="560" w:lineRule="exact"/>
        <w:ind w:left="0" w:leftChars="0" w:firstLine="640"/>
        <w:rPr>
          <w:b/>
          <w:sz w:val="32"/>
          <w:szCs w:val="32"/>
        </w:rPr>
      </w:pPr>
      <w:r>
        <w:rPr>
          <w:rFonts w:eastAsia="仿宋_GB2312"/>
          <w:sz w:val="32"/>
          <w:szCs w:val="32"/>
        </w:rPr>
        <w:t>（3）材料和工具由各参赛队自备。</w:t>
      </w:r>
    </w:p>
    <w:p w14:paraId="45E0F20C">
      <w:pPr>
        <w:pStyle w:val="6"/>
        <w:spacing w:line="560" w:lineRule="exact"/>
        <w:ind w:left="0" w:leftChars="0" w:firstLine="0" w:firstLineChars="0"/>
        <w:jc w:val="left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三、模型几何尺寸要求</w:t>
      </w:r>
    </w:p>
    <w:p w14:paraId="61B28AA7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（1）模型总高度</w:t>
      </w:r>
      <w:r>
        <w:rPr>
          <w:rFonts w:eastAsia="仿宋_GB2312"/>
          <w:i/>
          <w:sz w:val="32"/>
          <w:szCs w:val="32"/>
        </w:rPr>
        <w:t>H=</w:t>
      </w:r>
      <w:r>
        <w:rPr>
          <w:rFonts w:eastAsia="仿宋_GB2312"/>
          <w:iCs/>
          <w:sz w:val="32"/>
          <w:szCs w:val="32"/>
        </w:rPr>
        <w:t>600</w:t>
      </w:r>
      <w:r>
        <w:rPr>
          <w:rFonts w:eastAsia="仿宋_GB2312"/>
          <w:i/>
          <w:sz w:val="32"/>
          <w:szCs w:val="32"/>
        </w:rPr>
        <w:t>mm</w:t>
      </w:r>
      <w:r>
        <w:rPr>
          <w:rFonts w:eastAsia="仿宋_GB2312"/>
          <w:iCs/>
          <w:sz w:val="32"/>
          <w:szCs w:val="32"/>
        </w:rPr>
        <w:t>±15</w:t>
      </w:r>
      <w:r>
        <w:rPr>
          <w:rFonts w:eastAsia="仿宋_GB2312"/>
          <w:i/>
          <w:sz w:val="32"/>
          <w:szCs w:val="32"/>
        </w:rPr>
        <w:t>mm</w:t>
      </w:r>
      <w:r>
        <w:rPr>
          <w:rFonts w:eastAsia="仿宋_GB2312"/>
          <w:sz w:val="32"/>
          <w:szCs w:val="32"/>
        </w:rPr>
        <w:t>，总高度为模型底面至模型顶面上表面的垂直距离</w:t>
      </w:r>
      <w:r>
        <w:rPr>
          <w:rFonts w:hint="eastAsia" w:eastAsia="仿宋_GB2312"/>
          <w:sz w:val="32"/>
          <w:szCs w:val="32"/>
        </w:rPr>
        <w:t>。</w:t>
      </w:r>
    </w:p>
    <w:p w14:paraId="197E0FC6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（2）模型应具有2个楼面（含顶层屋面），二层与顶层楼面应能分别放置重物，承受一定的铅垂载荷。</w:t>
      </w:r>
    </w:p>
    <w:p w14:paraId="142FD003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（3）每层楼面层层高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，均要求在300mm±10mm范围内,楼面层净高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0</w:t>
      </w:r>
      <w:r>
        <w:rPr>
          <w:rFonts w:eastAsia="仿宋_GB2312"/>
          <w:sz w:val="32"/>
          <w:szCs w:val="32"/>
        </w:rPr>
        <w:t>≥220mm</w:t>
      </w:r>
      <w:r>
        <w:rPr>
          <w:rFonts w:hint="eastAsia" w:eastAsia="仿宋_GB2312"/>
          <w:sz w:val="32"/>
          <w:szCs w:val="32"/>
        </w:rPr>
        <w:t>。</w:t>
      </w:r>
    </w:p>
    <w:p w14:paraId="094BB598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（4）建议模型的尺寸（边长或直径）与配重尺寸相协调。</w:t>
      </w:r>
    </w:p>
    <w:p w14:paraId="38824C0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048000" cy="3376930"/>
            <wp:effectExtent l="0" t="0" r="0" b="635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784" cy="34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9124">
      <w:pPr>
        <w:pStyle w:val="6"/>
        <w:ind w:left="0" w:leftChars="0" w:firstLine="0" w:firstLineChars="0"/>
        <w:jc w:val="center"/>
        <w:rPr>
          <w:rFonts w:eastAsia="微软雅黑"/>
        </w:rPr>
      </w:pPr>
      <w:r>
        <w:rPr>
          <w:rFonts w:eastAsia="微软雅黑"/>
        </w:rPr>
        <w:t>图1 模型要求示意图</w:t>
      </w:r>
    </w:p>
    <w:p w14:paraId="45EC01CC">
      <w:pPr>
        <w:pStyle w:val="6"/>
        <w:spacing w:line="560" w:lineRule="exact"/>
        <w:ind w:left="0" w:leftChars="0" w:firstLine="0" w:firstLineChars="0"/>
        <w:jc w:val="left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四、模型重量要求及加载质量要求</w:t>
      </w:r>
    </w:p>
    <w:p w14:paraId="0A0DC25C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模型计算质量</w:t>
      </w:r>
      <w:r>
        <w:rPr>
          <w:rFonts w:eastAsia="仿宋_GB2312"/>
          <w:i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>以g为单位。当模型实际质量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sz w:val="32"/>
          <w:szCs w:val="32"/>
        </w:rPr>
        <w:t>≤</w:t>
      </w:r>
      <w:r>
        <w:rPr>
          <w:rFonts w:eastAsia="仿宋_GB2312"/>
          <w:sz w:val="32"/>
          <w:szCs w:val="32"/>
        </w:rPr>
        <w:t>200g</w:t>
      </w:r>
      <w:r>
        <w:rPr>
          <w:rFonts w:eastAsia="仿宋_GB2312"/>
          <w:iCs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i/>
          <w:sz w:val="32"/>
          <w:szCs w:val="32"/>
        </w:rPr>
        <w:t>m=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/>
          <w:iCs/>
          <w:sz w:val="32"/>
          <w:szCs w:val="32"/>
        </w:rPr>
        <w:t>；当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/>
          <w:iCs/>
          <w:sz w:val="32"/>
          <w:szCs w:val="32"/>
        </w:rPr>
        <w:t>＞200g时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>=200+2×(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/>
          <w:sz w:val="32"/>
          <w:szCs w:val="32"/>
        </w:rPr>
        <w:t>-200)。</w:t>
      </w:r>
    </w:p>
    <w:p w14:paraId="4CE5EF54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顶层加载质量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（不含垫块木板）以kg为单位，不得超过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0。二楼面加载质量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必须等于4。</w:t>
      </w:r>
    </w:p>
    <w:p w14:paraId="2C1B544A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现场提供大、小两种规格加载铁块。大铁块重量为10kg；小铁块重量为</w:t>
      </w:r>
      <w:r>
        <w:rPr>
          <w:rFonts w:hint="eastAsia" w:eastAsia="仿宋_GB2312"/>
          <w:sz w:val="32"/>
          <w:szCs w:val="32"/>
        </w:rPr>
        <w:t>1kg、2</w:t>
      </w:r>
      <w:r>
        <w:rPr>
          <w:rFonts w:eastAsia="仿宋_GB2312"/>
          <w:sz w:val="32"/>
          <w:szCs w:val="32"/>
        </w:rPr>
        <w:t>kg</w:t>
      </w:r>
      <w:r>
        <w:rPr>
          <w:rFonts w:hint="eastAsia" w:eastAsia="仿宋_GB2312"/>
          <w:sz w:val="32"/>
          <w:szCs w:val="32"/>
        </w:rPr>
        <w:t>和4kg</w:t>
      </w:r>
      <w:r>
        <w:rPr>
          <w:rFonts w:eastAsia="仿宋_GB2312"/>
          <w:sz w:val="32"/>
          <w:szCs w:val="32"/>
        </w:rPr>
        <w:t>。</w:t>
      </w:r>
    </w:p>
    <w:p w14:paraId="2F7D6E81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组委会现场提供的垫块木板一般小于1kg。</w:t>
      </w:r>
    </w:p>
    <w:p w14:paraId="7A05199C">
      <w:pPr>
        <w:pStyle w:val="6"/>
        <w:spacing w:line="560" w:lineRule="exact"/>
        <w:ind w:left="0" w:leftChars="0" w:firstLine="0" w:firstLineChars="0"/>
        <w:jc w:val="left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五、模型加载制度</w:t>
      </w:r>
    </w:p>
    <w:p w14:paraId="30B47234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顶层楼面加载质量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可放置在组委会现场提供的木板上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二楼面加载质量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可</w:t>
      </w:r>
      <w:r>
        <w:rPr>
          <w:rFonts w:eastAsia="仿宋_GB2312"/>
          <w:sz w:val="32"/>
          <w:szCs w:val="32"/>
        </w:rPr>
        <w:t>放置在组委会现场提供的木板上</w:t>
      </w:r>
      <w:r>
        <w:rPr>
          <w:rFonts w:hint="eastAsia" w:eastAsia="仿宋_GB2312"/>
          <w:sz w:val="32"/>
          <w:szCs w:val="32"/>
        </w:rPr>
        <w:t>或模型杆件上</w:t>
      </w:r>
      <w:r>
        <w:rPr>
          <w:rFonts w:eastAsia="仿宋_GB2312"/>
          <w:sz w:val="32"/>
          <w:szCs w:val="32"/>
        </w:rPr>
        <w:t>。</w:t>
      </w:r>
    </w:p>
    <w:p w14:paraId="158E0A89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比赛按如下规则进行加载</w:t>
      </w:r>
    </w:p>
    <w:p w14:paraId="0536F4DA">
      <w:pPr>
        <w:pStyle w:val="6"/>
        <w:spacing w:line="560" w:lineRule="exact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（1）每队最多有6次加载机会，即6级加载，每级加载都应保留二层楼面加载质量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；</w:t>
      </w:r>
    </w:p>
    <w:p w14:paraId="285C02D3">
      <w:pPr>
        <w:pStyle w:val="6"/>
        <w:spacing w:line="560" w:lineRule="exact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（2）铁块在模型上需静止10秒才算本级加载成功；</w:t>
      </w:r>
    </w:p>
    <w:p w14:paraId="6CE511E5">
      <w:pPr>
        <w:pStyle w:val="6"/>
        <w:spacing w:line="560" w:lineRule="exact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（2）第一级加载，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必须取10Kg；其它级加载重量自主确定；</w:t>
      </w:r>
    </w:p>
    <w:p w14:paraId="2AEC75B4">
      <w:pPr>
        <w:pStyle w:val="6"/>
        <w:spacing w:line="560" w:lineRule="exact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（4）在每级加载过程中，参赛队员加载完毕举手示意，工作人员开始计时。</w:t>
      </w:r>
    </w:p>
    <w:p w14:paraId="4C6C4971">
      <w:pPr>
        <w:pStyle w:val="6"/>
        <w:spacing w:line="560" w:lineRule="exact"/>
        <w:ind w:left="0" w:leftChars="0" w:firstLine="0" w:firstLineChars="0"/>
        <w:jc w:val="left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六、模型失效评判准则</w:t>
      </w:r>
    </w:p>
    <w:p w14:paraId="714A3FBA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比赛开始前，组委会将检查各队伍的作品，如发现违规现象，取消参赛资格。</w:t>
      </w:r>
    </w:p>
    <w:p w14:paraId="487BADF1">
      <w:pPr>
        <w:pStyle w:val="6"/>
        <w:spacing w:line="56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模型进行各级加载时，出现下列任一情形判定模型失效。将上一级加载作为模型效率比计算的依据。</w:t>
      </w:r>
    </w:p>
    <w:p w14:paraId="4BCCDBA1">
      <w:pPr>
        <w:pStyle w:val="6"/>
        <w:spacing w:line="560" w:lineRule="exact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（1）结构出现断裂、倒塌等；</w:t>
      </w:r>
    </w:p>
    <w:p w14:paraId="0D128A9B">
      <w:pPr>
        <w:pStyle w:val="6"/>
        <w:spacing w:line="560" w:lineRule="exact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（2）在整个加载过程中出现铁块落地现象。</w:t>
      </w:r>
    </w:p>
    <w:p w14:paraId="1B5C0AF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加载之后，如发现主体材料除A4纸外还有其他材料，或有胶水注入模型空隙或改变纸张自身力学特性的情况，将取消比赛成绩。</w:t>
      </w:r>
    </w:p>
    <w:p w14:paraId="351E6BF8">
      <w:pPr>
        <w:pStyle w:val="6"/>
        <w:spacing w:line="560" w:lineRule="exact"/>
        <w:ind w:left="0" w:leftChars="0" w:firstLine="0" w:firstLineChars="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七、模型制作、现场安装、加载及测试步骤</w:t>
      </w:r>
    </w:p>
    <w:p w14:paraId="6B20DDA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1.模型制作完毕后，由工作人员进行模型尺寸违规检查，并对模型称重（精度至0.1g），并换算为模型计算质量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6E5858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2.得到入场指令后，将模型及底板运进场内，放置在承载台上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E4139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3.由一名队员进行模型陈述（1分钟）及回答评委问题（1分钟）；评委打分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773B741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4.每级加载完成后评价模型是否失效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EE0D8F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5.模型安装、加载过程由各队自行完成，工作人员负责监督和记录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2F144E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6.加载结束后，迅速清理加载现场。</w:t>
      </w:r>
    </w:p>
    <w:p w14:paraId="0CECB6A6">
      <w:pPr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八、评分规则</w:t>
      </w:r>
    </w:p>
    <w:p w14:paraId="7027AD48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成绩为现场答辨得分+模型性能得分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满分100分。</w:t>
      </w:r>
    </w:p>
    <w:p w14:paraId="3D2F9F17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（一）现场答辩得分（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分）</w:t>
      </w:r>
    </w:p>
    <w:p w14:paraId="66F6F99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综合考虑</w:t>
      </w:r>
      <w:r>
        <w:rPr>
          <w:rFonts w:ascii="Times New Roman" w:hAnsi="Times New Roman" w:eastAsia="仿宋_GB2312"/>
          <w:sz w:val="32"/>
          <w:szCs w:val="32"/>
        </w:rPr>
        <w:t>宏观造型和微观工艺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模型汇报陈述和回答老师咨询提问两个方面。</w:t>
      </w:r>
    </w:p>
    <w:p w14:paraId="2BD2E81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宏观造型要求结构体系构思新颖、外形美观、构件尺寸比例协调。微观工艺上要求构件和节点剪裁合理，制作美观，连接可靠。</w:t>
      </w:r>
    </w:p>
    <w:p w14:paraId="551E449F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模型汇报陈述</w:t>
      </w:r>
      <w:r>
        <w:rPr>
          <w:rFonts w:hint="eastAsia" w:eastAsia="仿宋_GB2312"/>
          <w:sz w:val="32"/>
          <w:szCs w:val="32"/>
        </w:rPr>
        <w:t>要求包括模型结构选型理念、构件设计方法、模型制作特点等。</w:t>
      </w:r>
    </w:p>
    <w:p w14:paraId="053B5D2F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）模型性能得分（</w:t>
      </w:r>
      <w:r>
        <w:rPr>
          <w:rFonts w:hint="eastAsia" w:ascii="Times New Roman" w:hAnsi="Times New Roman" w:eastAsia="仿宋_GB2312"/>
          <w:sz w:val="32"/>
          <w:szCs w:val="32"/>
        </w:rPr>
        <w:t>90</w:t>
      </w:r>
      <w:r>
        <w:rPr>
          <w:rFonts w:ascii="Times New Roman" w:hAnsi="Times New Roman" w:eastAsia="仿宋_GB2312"/>
          <w:sz w:val="32"/>
          <w:szCs w:val="32"/>
        </w:rPr>
        <w:t>分）</w:t>
      </w:r>
    </w:p>
    <w:p w14:paraId="51728A3F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模型性能得分</w:t>
      </w:r>
      <w:r>
        <w:rPr>
          <w:rFonts w:ascii="Times New Roman" w:hAnsi="Times New Roman" w:eastAsia="仿宋_GB2312"/>
          <w:i/>
          <w:sz w:val="32"/>
          <w:szCs w:val="32"/>
        </w:rPr>
        <w:t>S</w:t>
      </w:r>
      <w:r>
        <w:rPr>
          <w:rFonts w:hint="eastAsia" w:ascii="Times New Roman" w:hAnsi="Times New Roman" w:eastAsia="仿宋_GB2312"/>
          <w:iCs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计算方法如式（1）：</w:t>
      </w:r>
    </w:p>
    <w:p w14:paraId="322E793D">
      <w:pPr>
        <w:pStyle w:val="6"/>
        <w:ind w:leftChars="0" w:firstLine="518" w:firstLineChars="162"/>
        <w:jc w:val="right"/>
        <w:rPr>
          <w:sz w:val="32"/>
          <w:szCs w:val="32"/>
          <w:vertAlign w:val="superscript"/>
        </w:rPr>
      </w:pPr>
      <w:r>
        <w:rPr>
          <w:i/>
          <w:iCs/>
          <w:sz w:val="32"/>
          <w:szCs w:val="32"/>
        </w:rPr>
        <w:t>S</w:t>
      </w:r>
      <w:r>
        <w:rPr>
          <w:sz w:val="32"/>
          <w:szCs w:val="32"/>
        </w:rPr>
        <w:t>=</w:t>
      </w:r>
      <w:r>
        <w:rPr>
          <w:rFonts w:hint="eastAsia"/>
          <w:sz w:val="32"/>
          <w:szCs w:val="32"/>
        </w:rPr>
        <w:t>90</w:t>
      </w:r>
      <w:r>
        <w:rPr>
          <w:rFonts w:eastAsia="仿宋_GB2312"/>
          <w:sz w:val="32"/>
          <w:szCs w:val="32"/>
        </w:rPr>
        <w:t>×</w:t>
      </w:r>
      <w:r>
        <w:rPr>
          <w:i/>
          <w:iCs/>
          <w:sz w:val="32"/>
          <w:szCs w:val="32"/>
        </w:rPr>
        <w:t>C</w:t>
      </w:r>
      <w:r>
        <w:rPr>
          <w:sz w:val="32"/>
          <w:szCs w:val="32"/>
        </w:rPr>
        <w:t>/</w:t>
      </w:r>
      <w:r>
        <w:rPr>
          <w:i/>
          <w:iCs/>
          <w:sz w:val="32"/>
          <w:szCs w:val="32"/>
        </w:rPr>
        <w:t>C</w:t>
      </w:r>
      <w:r>
        <w:rPr>
          <w:sz w:val="32"/>
          <w:szCs w:val="32"/>
          <w:vertAlign w:val="superscript"/>
        </w:rPr>
        <w:t xml:space="preserve">* </w:t>
      </w:r>
      <w:r>
        <w:rPr>
          <w:rFonts w:eastAsia="仿宋_GB2312"/>
          <w:sz w:val="32"/>
          <w:szCs w:val="32"/>
        </w:rPr>
        <w:t xml:space="preserve">                             （1）</w:t>
      </w:r>
    </w:p>
    <w:p w14:paraId="3BEDF7A5">
      <w:pPr>
        <w:pStyle w:val="6"/>
        <w:ind w:left="0" w:leftChars="0" w:firstLine="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其中</w:t>
      </w:r>
      <w:r>
        <w:rPr>
          <w:rFonts w:eastAsia="仿宋_GB2312"/>
          <w:i/>
          <w:sz w:val="32"/>
          <w:szCs w:val="32"/>
        </w:rPr>
        <w:t>C</w:t>
      </w:r>
      <w:r>
        <w:rPr>
          <w:rFonts w:eastAsia="仿宋_GB2312"/>
          <w:iCs/>
          <w:sz w:val="32"/>
          <w:szCs w:val="32"/>
        </w:rPr>
        <w:t>：本队</w:t>
      </w:r>
      <w:r>
        <w:rPr>
          <w:rFonts w:eastAsia="仿宋_GB2312"/>
          <w:sz w:val="32"/>
          <w:szCs w:val="32"/>
        </w:rPr>
        <w:t>模型的性能参</w:t>
      </w:r>
      <w:r>
        <w:rPr>
          <w:rFonts w:hint="eastAsia" w:eastAsia="仿宋_GB2312"/>
          <w:sz w:val="32"/>
          <w:szCs w:val="32"/>
        </w:rPr>
        <w:t>数分值，计算方法如</w:t>
      </w:r>
      <w:r>
        <w:rPr>
          <w:rFonts w:eastAsia="仿宋_GB2312"/>
          <w:sz w:val="32"/>
          <w:szCs w:val="32"/>
        </w:rPr>
        <w:t>式（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：</w:t>
      </w:r>
    </w:p>
    <w:p w14:paraId="334250A8">
      <w:pPr>
        <w:pStyle w:val="6"/>
        <w:ind w:left="0" w:leftChars="0" w:firstLine="0" w:firstLineChars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i/>
          <w:iCs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=（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）/(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>)                （2）</w:t>
      </w:r>
    </w:p>
    <w:p w14:paraId="121CFD19">
      <w:pPr>
        <w:pStyle w:val="6"/>
        <w:spacing w:line="560" w:lineRule="exact"/>
        <w:ind w:left="0" w:leftChars="0" w:firstLine="645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  <w:vertAlign w:val="superscript"/>
        </w:rPr>
        <w:t>*</w:t>
      </w:r>
      <w:r>
        <w:rPr>
          <w:rFonts w:eastAsia="仿宋_GB2312"/>
          <w:sz w:val="32"/>
          <w:szCs w:val="32"/>
        </w:rPr>
        <w:t>:按式（2）计算得到的本赛场所有参赛模型</w:t>
      </w:r>
      <w:r>
        <w:rPr>
          <w:rFonts w:hint="eastAsia" w:eastAsia="仿宋_GB2312"/>
          <w:sz w:val="32"/>
          <w:szCs w:val="32"/>
        </w:rPr>
        <w:t>队的</w:t>
      </w:r>
      <w:r>
        <w:rPr>
          <w:rFonts w:eastAsia="仿宋_GB2312"/>
          <w:sz w:val="32"/>
          <w:szCs w:val="32"/>
        </w:rPr>
        <w:t>性能参数</w:t>
      </w:r>
      <w:r>
        <w:rPr>
          <w:rFonts w:hint="eastAsia" w:eastAsia="仿宋_GB2312"/>
          <w:sz w:val="32"/>
          <w:szCs w:val="32"/>
        </w:rPr>
        <w:t>分值的</w:t>
      </w:r>
      <w:r>
        <w:rPr>
          <w:rFonts w:eastAsia="仿宋_GB2312"/>
          <w:sz w:val="32"/>
          <w:szCs w:val="32"/>
        </w:rPr>
        <w:t>最大值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；</w:t>
      </w:r>
    </w:p>
    <w:p w14:paraId="7D26672B">
      <w:pPr>
        <w:pStyle w:val="6"/>
        <w:spacing w:line="560" w:lineRule="exact"/>
        <w:ind w:left="0" w:leftChars="0" w:firstLine="645" w:firstLineChars="0"/>
        <w:jc w:val="left"/>
      </w:pPr>
      <w:r>
        <w:rPr>
          <w:rFonts w:hint="eastAsia" w:eastAsia="仿宋_GB2312"/>
          <w:b/>
          <w:bCs/>
          <w:sz w:val="32"/>
          <w:szCs w:val="32"/>
        </w:rPr>
        <w:t>提示：</w:t>
      </w:r>
      <w:r>
        <w:rPr>
          <w:rFonts w:hint="eastAsia" w:eastAsia="仿宋_GB2312"/>
          <w:sz w:val="32"/>
          <w:szCs w:val="32"/>
        </w:rPr>
        <w:t>式（2）中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hint="eastAsia" w:eastAsia="仿宋_GB2312"/>
          <w:iCs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本队模型的计算质量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不一定等于模型实际质量</w:t>
      </w:r>
      <w:r>
        <w:rPr>
          <w:rFonts w:hint="eastAsia" w:eastAsia="仿宋_GB2312"/>
          <w:sz w:val="32"/>
          <w:szCs w:val="32"/>
        </w:rPr>
        <w:t>，取值办法按赛题四中的相关规定</w:t>
      </w:r>
      <w:r>
        <w:rPr>
          <w:rFonts w:eastAsia="仿宋_GB2312"/>
          <w:sz w:val="32"/>
          <w:szCs w:val="32"/>
        </w:rPr>
        <w:t>。</w:t>
      </w:r>
    </w:p>
    <w:p w14:paraId="79443E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ZjE1MGE4YTAxY2E1YmJiODFlMDk3NDM0ODAzYTEifQ=="/>
  </w:docVars>
  <w:rsids>
    <w:rsidRoot w:val="74E1170D"/>
    <w:rsid w:val="24C33844"/>
    <w:rsid w:val="32C827FE"/>
    <w:rsid w:val="44125262"/>
    <w:rsid w:val="74E1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等线" w:hAnsi="等线" w:eastAsia="Times New Roman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"/>
    <w:basedOn w:val="1"/>
    <w:uiPriority w:val="0"/>
    <w:pPr>
      <w:spacing w:line="300" w:lineRule="auto"/>
      <w:ind w:firstLine="420" w:firstLineChars="200"/>
    </w:pPr>
    <w:rPr>
      <w:rFonts w:asciiTheme="minorAscii" w:hAnsiTheme="minorAscii"/>
      <w:sz w:val="24"/>
    </w:rPr>
  </w:style>
  <w:style w:type="paragraph" w:customStyle="1" w:styleId="5">
    <w:name w:val="表格"/>
    <w:basedOn w:val="4"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6">
    <w:name w:val="（一）正文"/>
    <w:basedOn w:val="1"/>
    <w:qFormat/>
    <w:uiPriority w:val="99"/>
    <w:pPr>
      <w:spacing w:line="360" w:lineRule="auto"/>
      <w:ind w:left="200" w:leftChars="200" w:firstLine="200" w:firstLineChars="200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2024-11-14T07:20:00Z</dcterms:created>
  <dc:creator>Eva</dc:creator>
  <cp:lastModifiedBy>Eva</cp:lastModifiedBy>
  <dcterms:modified xsi:type="dcterms:W3CDTF">2024-11-14T07:21:15Z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3F205722A3ED4FABA8A7B34ACD4F4355_11</vt:lpwstr>
  </property>
</Properties>
</file>